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E343" w14:textId="77777777" w:rsidR="00740690" w:rsidRPr="00740690" w:rsidRDefault="00740690" w:rsidP="00740690">
      <w:pPr>
        <w:spacing w:before="120" w:after="120"/>
        <w:rPr>
          <w:rFonts w:ascii="Arial" w:hAnsi="Arial" w:cs="Arial"/>
          <w:b/>
          <w:color w:val="1F497D" w:themeColor="text2"/>
          <w:sz w:val="32"/>
          <w:szCs w:val="22"/>
        </w:rPr>
      </w:pPr>
      <w:r w:rsidRPr="00740690">
        <w:rPr>
          <w:rFonts w:ascii="Arial" w:hAnsi="Arial" w:cs="Arial"/>
          <w:b/>
          <w:color w:val="1F497D" w:themeColor="text2"/>
          <w:sz w:val="32"/>
          <w:szCs w:val="22"/>
        </w:rPr>
        <w:t>What’s in this Module?</w:t>
      </w:r>
    </w:p>
    <w:tbl>
      <w:tblPr>
        <w:tblStyle w:val="LightList-Accent1"/>
        <w:tblW w:w="1089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430"/>
        <w:gridCol w:w="4680"/>
        <w:gridCol w:w="1890"/>
        <w:gridCol w:w="1890"/>
      </w:tblGrid>
      <w:tr w:rsidR="00633F30" w:rsidRPr="00740690" w14:paraId="1D80F3BC" w14:textId="77777777" w:rsidTr="0063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45D6552F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ACTIVITY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A8ECFBB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PURPOSE</w:t>
            </w:r>
          </w:p>
        </w:tc>
        <w:tc>
          <w:tcPr>
            <w:tcW w:w="1890" w:type="dxa"/>
            <w:vAlign w:val="center"/>
          </w:tcPr>
          <w:p w14:paraId="63C402BC" w14:textId="77777777" w:rsidR="00633F30" w:rsidRPr="00740690" w:rsidRDefault="00633F30" w:rsidP="00633F3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DURATION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</w:tcPr>
          <w:p w14:paraId="71A9E346" w14:textId="37895C5B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REFER TO SPI-R</w:t>
            </w:r>
            <w:r w:rsidR="001E025A">
              <w:rPr>
                <w:rFonts w:ascii="Arial" w:hAnsi="Arial" w:cs="Arial"/>
                <w:color w:val="FFFFFF"/>
                <w:szCs w:val="20"/>
              </w:rPr>
              <w:t>R</w:t>
            </w:r>
            <w:r>
              <w:rPr>
                <w:rFonts w:ascii="Arial" w:hAnsi="Arial" w:cs="Arial"/>
                <w:color w:val="FFFFFF"/>
                <w:szCs w:val="20"/>
              </w:rPr>
              <w:t>T QUESTIONS</w:t>
            </w:r>
          </w:p>
        </w:tc>
      </w:tr>
    </w:tbl>
    <w:tbl>
      <w:tblPr>
        <w:tblStyle w:val="TableGrid1"/>
        <w:tblW w:w="1091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779"/>
        <w:gridCol w:w="4680"/>
        <w:gridCol w:w="1911"/>
        <w:gridCol w:w="1911"/>
      </w:tblGrid>
      <w:tr w:rsidR="0076077D" w14:paraId="514A4479" w14:textId="77777777" w:rsidTr="00253192">
        <w:tc>
          <w:tcPr>
            <w:tcW w:w="630" w:type="dxa"/>
          </w:tcPr>
          <w:p w14:paraId="77133E26" w14:textId="77777777" w:rsidR="0076077D" w:rsidRPr="002F5B3C" w:rsidRDefault="00253192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2</w:t>
            </w:r>
            <w:r w:rsidR="0076077D">
              <w:rPr>
                <w:rFonts w:ascii="Cambria" w:eastAsia="Calibri" w:hAnsi="Cambria"/>
              </w:rPr>
              <w:t>.1</w:t>
            </w:r>
          </w:p>
        </w:tc>
        <w:tc>
          <w:tcPr>
            <w:tcW w:w="1779" w:type="dxa"/>
          </w:tcPr>
          <w:p w14:paraId="38442341" w14:textId="77777777" w:rsidR="0076077D" w:rsidRDefault="0076077D" w:rsidP="00D940A6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Audit </w:t>
            </w:r>
            <w:r w:rsidR="00A311D7">
              <w:rPr>
                <w:rFonts w:ascii="Cambria" w:eastAsia="Calibri" w:hAnsi="Cambria"/>
              </w:rPr>
              <w:t>Requirements and techniques</w:t>
            </w:r>
          </w:p>
          <w:p w14:paraId="29093A60" w14:textId="77777777" w:rsidR="0076077D" w:rsidRDefault="0076077D" w:rsidP="00D940A6">
            <w:pPr>
              <w:rPr>
                <w:rFonts w:ascii="Cambria" w:eastAsia="Calibri" w:hAnsi="Cambria"/>
              </w:rPr>
            </w:pPr>
            <w:r w:rsidRPr="00EB4B3C">
              <w:rPr>
                <w:rFonts w:ascii="Cambria" w:eastAsia="Calibri" w:hAnsi="Cambria"/>
                <w:noProof/>
              </w:rPr>
              <w:drawing>
                <wp:anchor distT="0" distB="0" distL="114300" distR="114300" simplePos="0" relativeHeight="251683840" behindDoc="0" locked="0" layoutInCell="1" allowOverlap="1" wp14:anchorId="4087E54B" wp14:editId="3874358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70485</wp:posOffset>
                  </wp:positionV>
                  <wp:extent cx="413385" cy="364490"/>
                  <wp:effectExtent l="0" t="0" r="5715" b="0"/>
                  <wp:wrapNone/>
                  <wp:docPr id="1" name="Picture 15" descr="C:\Users\chn7\AppData\Local\Microsoft\Windows\Temporary Internet Files\Content.IE5\13WNRYC7\MC900282456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chn7\AppData\Local\Microsoft\Windows\Temporary Internet Files\Content.IE5\13WNRYC7\MC900282456[1]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112C78" w14:textId="77777777" w:rsidR="0076077D" w:rsidRDefault="0076077D" w:rsidP="00D940A6">
            <w:pPr>
              <w:rPr>
                <w:rFonts w:ascii="Cambria" w:eastAsia="Calibri" w:hAnsi="Cambria"/>
              </w:rPr>
            </w:pPr>
          </w:p>
          <w:p w14:paraId="47E3EF41" w14:textId="77777777" w:rsidR="0076077D" w:rsidRDefault="0076077D" w:rsidP="00D940A6">
            <w:pPr>
              <w:rPr>
                <w:rFonts w:ascii="Cambria" w:eastAsia="Calibri" w:hAnsi="Cambria"/>
              </w:rPr>
            </w:pPr>
          </w:p>
          <w:p w14:paraId="0E5E6D87" w14:textId="77777777" w:rsidR="0076077D" w:rsidRDefault="0076077D" w:rsidP="00D940A6">
            <w:pPr>
              <w:rPr>
                <w:rFonts w:ascii="Cambria" w:eastAsia="Calibri" w:hAnsi="Cambria"/>
              </w:rPr>
            </w:pPr>
          </w:p>
          <w:p w14:paraId="579C9082" w14:textId="77777777" w:rsidR="0076077D" w:rsidRDefault="0076077D" w:rsidP="00D940A6">
            <w:pPr>
              <w:rPr>
                <w:rFonts w:ascii="Cambria" w:eastAsia="Calibri" w:hAnsi="Cambria"/>
              </w:rPr>
            </w:pPr>
          </w:p>
          <w:p w14:paraId="2C60BB78" w14:textId="77777777" w:rsidR="0076077D" w:rsidRDefault="0076077D" w:rsidP="00D940A6">
            <w:pPr>
              <w:rPr>
                <w:rFonts w:ascii="Cambria" w:eastAsia="Calibri" w:hAnsi="Cambria"/>
              </w:rPr>
            </w:pPr>
          </w:p>
          <w:p w14:paraId="1604C82F" w14:textId="77777777" w:rsidR="0076077D" w:rsidRDefault="0076077D" w:rsidP="00D940A6">
            <w:pPr>
              <w:rPr>
                <w:rFonts w:ascii="Cambria" w:eastAsia="Calibri" w:hAnsi="Cambria"/>
              </w:rPr>
            </w:pPr>
          </w:p>
        </w:tc>
        <w:tc>
          <w:tcPr>
            <w:tcW w:w="4680" w:type="dxa"/>
          </w:tcPr>
          <w:p w14:paraId="50806187" w14:textId="77777777" w:rsidR="0076077D" w:rsidRDefault="0076077D" w:rsidP="00D940A6">
            <w:pPr>
              <w:rPr>
                <w:rFonts w:ascii="Cambria" w:eastAsia="Calibri" w:hAnsi="Cambria"/>
              </w:rPr>
            </w:pPr>
            <w:r w:rsidRPr="00753459">
              <w:rPr>
                <w:rFonts w:ascii="Cambria" w:eastAsia="Calibri" w:hAnsi="Cambria"/>
              </w:rPr>
              <w:t xml:space="preserve">The </w:t>
            </w:r>
            <w:r w:rsidR="00753459">
              <w:rPr>
                <w:rFonts w:ascii="Cambria" w:eastAsia="Calibri" w:hAnsi="Cambria"/>
              </w:rPr>
              <w:t>audit techniques</w:t>
            </w:r>
            <w:r w:rsidRPr="00753459">
              <w:rPr>
                <w:rFonts w:ascii="Cambria" w:eastAsia="Calibri" w:hAnsi="Cambria"/>
              </w:rPr>
              <w:t xml:space="preserve"> </w:t>
            </w:r>
            <w:proofErr w:type="gramStart"/>
            <w:r w:rsidRPr="00753459">
              <w:rPr>
                <w:rFonts w:ascii="Cambria" w:eastAsia="Calibri" w:hAnsi="Cambria"/>
              </w:rPr>
              <w:t>is</w:t>
            </w:r>
            <w:proofErr w:type="gramEnd"/>
            <w:r w:rsidRPr="00753459">
              <w:rPr>
                <w:rFonts w:ascii="Cambria" w:eastAsia="Calibri" w:hAnsi="Cambria"/>
              </w:rPr>
              <w:t xml:space="preserve"> primarily intended </w:t>
            </w:r>
            <w:r w:rsidR="00753459">
              <w:rPr>
                <w:rFonts w:ascii="Cambria" w:eastAsia="Calibri" w:hAnsi="Cambria"/>
              </w:rPr>
              <w:t xml:space="preserve">for use as a guide to ensure </w:t>
            </w:r>
            <w:r w:rsidR="009435D7">
              <w:rPr>
                <w:rFonts w:ascii="Cambria" w:eastAsia="Calibri" w:hAnsi="Cambria"/>
              </w:rPr>
              <w:t>a solid foundation in</w:t>
            </w:r>
            <w:r w:rsidR="00753459" w:rsidRPr="00753459">
              <w:rPr>
                <w:rFonts w:ascii="Cambria" w:eastAsia="Calibri" w:hAnsi="Cambria"/>
              </w:rPr>
              <w:t xml:space="preserve"> </w:t>
            </w:r>
            <w:r w:rsidR="009435D7" w:rsidRPr="00753459">
              <w:rPr>
                <w:rFonts w:ascii="Cambria" w:eastAsia="Calibri" w:hAnsi="Cambria"/>
              </w:rPr>
              <w:t>verifying</w:t>
            </w:r>
            <w:r w:rsidR="00753459" w:rsidRPr="00753459">
              <w:rPr>
                <w:rFonts w:ascii="Cambria" w:eastAsia="Calibri" w:hAnsi="Cambria"/>
              </w:rPr>
              <w:t xml:space="preserve"> the quality of </w:t>
            </w:r>
            <w:r w:rsidR="009435D7">
              <w:rPr>
                <w:rFonts w:ascii="Cambria" w:eastAsia="Calibri" w:hAnsi="Cambria"/>
              </w:rPr>
              <w:t xml:space="preserve">HIV rapid </w:t>
            </w:r>
            <w:r w:rsidR="0050734E">
              <w:rPr>
                <w:rFonts w:ascii="Cambria" w:eastAsia="Calibri" w:hAnsi="Cambria"/>
              </w:rPr>
              <w:t>test</w:t>
            </w:r>
            <w:r w:rsidR="009435D7">
              <w:rPr>
                <w:rFonts w:ascii="Cambria" w:eastAsia="Calibri" w:hAnsi="Cambria"/>
              </w:rPr>
              <w:t xml:space="preserve"> at </w:t>
            </w:r>
            <w:r w:rsidR="0050734E">
              <w:rPr>
                <w:rFonts w:ascii="Cambria" w:eastAsia="Calibri" w:hAnsi="Cambria"/>
              </w:rPr>
              <w:t xml:space="preserve">testing </w:t>
            </w:r>
            <w:r w:rsidR="009435D7">
              <w:rPr>
                <w:rFonts w:ascii="Cambria" w:eastAsia="Calibri" w:hAnsi="Cambria"/>
              </w:rPr>
              <w:t>sites</w:t>
            </w:r>
            <w:r w:rsidRPr="00753459">
              <w:rPr>
                <w:rFonts w:ascii="Cambria" w:eastAsia="Calibri" w:hAnsi="Cambria"/>
              </w:rPr>
              <w:t xml:space="preserve">. This activity will focus on </w:t>
            </w:r>
            <w:r w:rsidR="00753459" w:rsidRPr="00753459">
              <w:rPr>
                <w:rFonts w:ascii="Cambria" w:eastAsia="Calibri" w:hAnsi="Cambria"/>
              </w:rPr>
              <w:t xml:space="preserve">the purpose of an audit, </w:t>
            </w:r>
            <w:r w:rsidR="00D940A6">
              <w:rPr>
                <w:rFonts w:ascii="Cambria" w:eastAsia="Calibri" w:hAnsi="Cambria"/>
              </w:rPr>
              <w:t xml:space="preserve">understanding the </w:t>
            </w:r>
            <w:r w:rsidR="00753459" w:rsidRPr="00753459">
              <w:rPr>
                <w:rFonts w:ascii="Cambria" w:eastAsia="Calibri" w:hAnsi="Cambria"/>
              </w:rPr>
              <w:t>audit requirements and process</w:t>
            </w:r>
            <w:r w:rsidR="00753459">
              <w:rPr>
                <w:rFonts w:ascii="Cambria" w:eastAsia="Calibri" w:hAnsi="Cambria"/>
              </w:rPr>
              <w:t xml:space="preserve"> as well as </w:t>
            </w:r>
            <w:r w:rsidR="00753459" w:rsidRPr="00753459">
              <w:rPr>
                <w:rFonts w:ascii="Cambria" w:eastAsia="Calibri" w:hAnsi="Cambria"/>
              </w:rPr>
              <w:t>the different methods to audit a site</w:t>
            </w:r>
            <w:r w:rsidR="00753459">
              <w:rPr>
                <w:rFonts w:ascii="Cambria" w:eastAsia="Calibri" w:hAnsi="Cambria"/>
              </w:rPr>
              <w:t>.</w:t>
            </w:r>
          </w:p>
        </w:tc>
        <w:tc>
          <w:tcPr>
            <w:tcW w:w="1911" w:type="dxa"/>
          </w:tcPr>
          <w:p w14:paraId="682A698F" w14:textId="77777777" w:rsidR="0076077D" w:rsidRDefault="00A311D7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</w:t>
            </w:r>
            <w:r w:rsidR="0076077D">
              <w:rPr>
                <w:rFonts w:ascii="Cambria" w:eastAsia="Calibri" w:hAnsi="Cambria"/>
              </w:rPr>
              <w:t>0 mins</w:t>
            </w:r>
          </w:p>
        </w:tc>
        <w:tc>
          <w:tcPr>
            <w:tcW w:w="1911" w:type="dxa"/>
          </w:tcPr>
          <w:p w14:paraId="3E2073E8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Q2.2, 2.3, 2.5</w:t>
            </w:r>
          </w:p>
          <w:p w14:paraId="7E0B66C4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</w:p>
          <w:p w14:paraId="16726517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Q3.4, 3.6, 3.7, 3.10, 3.11</w:t>
            </w:r>
          </w:p>
          <w:p w14:paraId="3D9CEECF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</w:p>
          <w:p w14:paraId="488251AB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Q4.4, 4.10, 4.10, 4.12</w:t>
            </w:r>
          </w:p>
          <w:p w14:paraId="4A83D820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</w:p>
          <w:p w14:paraId="3F0716A5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Q5.1, 5.3, 5.4</w:t>
            </w:r>
          </w:p>
          <w:p w14:paraId="0DFC9BAD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</w:p>
          <w:p w14:paraId="2EECE642" w14:textId="77777777" w:rsidR="0076077D" w:rsidRDefault="0076077D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Q6.1, 6.2, 6.3, 6.4, 6.5</w:t>
            </w:r>
          </w:p>
        </w:tc>
      </w:tr>
      <w:tr w:rsidR="00253192" w:rsidRPr="0069511F" w14:paraId="6213772C" w14:textId="77777777" w:rsidTr="00253192">
        <w:tc>
          <w:tcPr>
            <w:tcW w:w="630" w:type="dxa"/>
          </w:tcPr>
          <w:p w14:paraId="2931AF46" w14:textId="77777777" w:rsidR="00253192" w:rsidRDefault="00253192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2.2</w:t>
            </w:r>
          </w:p>
        </w:tc>
        <w:tc>
          <w:tcPr>
            <w:tcW w:w="1779" w:type="dxa"/>
          </w:tcPr>
          <w:p w14:paraId="721DD7AF" w14:textId="2BA8EC45" w:rsidR="00253192" w:rsidRDefault="00253192" w:rsidP="00D940A6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Professional ethics for SPI-R</w:t>
            </w:r>
            <w:r w:rsidR="001E025A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>T auditors</w:t>
            </w:r>
          </w:p>
          <w:p w14:paraId="7DE84ACF" w14:textId="77777777" w:rsidR="00253192" w:rsidRDefault="00253192" w:rsidP="00727831">
            <w:pPr>
              <w:jc w:val="right"/>
              <w:rPr>
                <w:rFonts w:ascii="Cambria" w:eastAsia="Calibri" w:hAnsi="Cambria"/>
              </w:rPr>
            </w:pPr>
            <w:r w:rsidRPr="00EB4B3C">
              <w:rPr>
                <w:rFonts w:ascii="Cambria" w:eastAsia="Calibri" w:hAnsi="Cambria"/>
                <w:noProof/>
              </w:rPr>
              <w:drawing>
                <wp:anchor distT="0" distB="0" distL="114300" distR="114300" simplePos="0" relativeHeight="251687936" behindDoc="0" locked="0" layoutInCell="1" allowOverlap="1" wp14:anchorId="5D3565BC" wp14:editId="648CCF43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20955</wp:posOffset>
                  </wp:positionV>
                  <wp:extent cx="413385" cy="364490"/>
                  <wp:effectExtent l="0" t="0" r="5715" b="0"/>
                  <wp:wrapNone/>
                  <wp:docPr id="4" name="Picture 15" descr="C:\Users\chn7\AppData\Local\Microsoft\Windows\Temporary Internet Files\Content.IE5\13WNRYC7\MC900282456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chn7\AppData\Local\Microsoft\Windows\Temporary Internet Files\Content.IE5\13WNRYC7\MC900282456[1]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8AD950" w14:textId="77777777" w:rsidR="00253192" w:rsidRDefault="00253192" w:rsidP="00D940A6">
            <w:pPr>
              <w:rPr>
                <w:rFonts w:ascii="Cambria" w:eastAsia="Calibri" w:hAnsi="Cambria"/>
              </w:rPr>
            </w:pPr>
          </w:p>
          <w:p w14:paraId="10BFC47B" w14:textId="77777777" w:rsidR="00253192" w:rsidRDefault="00253192" w:rsidP="00D940A6">
            <w:pPr>
              <w:rPr>
                <w:rFonts w:ascii="Cambria" w:eastAsia="Calibri" w:hAnsi="Cambria"/>
              </w:rPr>
            </w:pPr>
          </w:p>
          <w:p w14:paraId="27E1642C" w14:textId="77777777" w:rsidR="00253192" w:rsidRDefault="00253192" w:rsidP="00D940A6">
            <w:pPr>
              <w:rPr>
                <w:rFonts w:ascii="Cambria" w:eastAsia="Calibri" w:hAnsi="Cambria"/>
              </w:rPr>
            </w:pPr>
          </w:p>
        </w:tc>
        <w:tc>
          <w:tcPr>
            <w:tcW w:w="4680" w:type="dxa"/>
          </w:tcPr>
          <w:p w14:paraId="0CCCBC63" w14:textId="77777777" w:rsidR="00253192" w:rsidRDefault="00253192" w:rsidP="00A311D7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Understanding what an auditor can or cannot do before during and after auditing a site is very critical. </w:t>
            </w:r>
            <w:proofErr w:type="gramStart"/>
            <w:r w:rsidRPr="00A311D7">
              <w:rPr>
                <w:rFonts w:ascii="Cambria" w:eastAsia="Calibri" w:hAnsi="Cambria"/>
              </w:rPr>
              <w:t>T</w:t>
            </w:r>
            <w:r>
              <w:rPr>
                <w:rFonts w:ascii="Cambria" w:eastAsia="Calibri" w:hAnsi="Cambria"/>
              </w:rPr>
              <w:t>hus</w:t>
            </w:r>
            <w:proofErr w:type="gramEnd"/>
            <w:r>
              <w:rPr>
                <w:rFonts w:ascii="Cambria" w:eastAsia="Calibri" w:hAnsi="Cambria"/>
              </w:rPr>
              <w:t xml:space="preserve"> it is important t</w:t>
            </w:r>
            <w:r w:rsidRPr="00A311D7">
              <w:rPr>
                <w:rFonts w:ascii="Cambria" w:eastAsia="Calibri" w:hAnsi="Cambria"/>
              </w:rPr>
              <w:t>o become familiar with SPI-RT Auditor Code of Ethics and Code of Conduct Rules and how to adopt these codes for SPI-RT auditing.</w:t>
            </w:r>
          </w:p>
        </w:tc>
        <w:tc>
          <w:tcPr>
            <w:tcW w:w="1911" w:type="dxa"/>
          </w:tcPr>
          <w:p w14:paraId="2563D19F" w14:textId="77777777" w:rsidR="00253192" w:rsidRDefault="00253192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30 min</w:t>
            </w:r>
          </w:p>
        </w:tc>
        <w:tc>
          <w:tcPr>
            <w:tcW w:w="1911" w:type="dxa"/>
          </w:tcPr>
          <w:p w14:paraId="016D8853" w14:textId="77777777" w:rsidR="00253192" w:rsidRDefault="00253192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  <w:tr w:rsidR="00253192" w:rsidRPr="0069511F" w14:paraId="0FFB0AA0" w14:textId="77777777" w:rsidTr="00592C9E">
        <w:tc>
          <w:tcPr>
            <w:tcW w:w="2409" w:type="dxa"/>
            <w:gridSpan w:val="2"/>
          </w:tcPr>
          <w:p w14:paraId="1FCFB478" w14:textId="77777777" w:rsidR="00253192" w:rsidRDefault="00253192" w:rsidP="00D940A6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Total</w:t>
            </w:r>
          </w:p>
        </w:tc>
        <w:tc>
          <w:tcPr>
            <w:tcW w:w="4680" w:type="dxa"/>
          </w:tcPr>
          <w:p w14:paraId="7E4B2A98" w14:textId="77777777" w:rsidR="00253192" w:rsidRDefault="00253192" w:rsidP="00A311D7">
            <w:pPr>
              <w:rPr>
                <w:rFonts w:ascii="Cambria" w:eastAsia="Calibri" w:hAnsi="Cambria"/>
              </w:rPr>
            </w:pPr>
          </w:p>
        </w:tc>
        <w:tc>
          <w:tcPr>
            <w:tcW w:w="1911" w:type="dxa"/>
          </w:tcPr>
          <w:p w14:paraId="24AE029B" w14:textId="77777777" w:rsidR="00253192" w:rsidRDefault="00253192" w:rsidP="00D940A6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1hr</w:t>
            </w:r>
          </w:p>
        </w:tc>
        <w:tc>
          <w:tcPr>
            <w:tcW w:w="1911" w:type="dxa"/>
          </w:tcPr>
          <w:p w14:paraId="42A6B1AD" w14:textId="77777777" w:rsidR="00253192" w:rsidRDefault="00253192" w:rsidP="00D940A6">
            <w:pPr>
              <w:jc w:val="center"/>
              <w:rPr>
                <w:rFonts w:ascii="Cambria" w:eastAsia="Calibri" w:hAnsi="Cambria"/>
              </w:rPr>
            </w:pPr>
          </w:p>
        </w:tc>
      </w:tr>
    </w:tbl>
    <w:p w14:paraId="2CD34842" w14:textId="77777777" w:rsidR="00D940A6" w:rsidRDefault="00D940A6"/>
    <w:sectPr w:rsidR="00D940A6" w:rsidSect="0025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A648" w14:textId="77777777" w:rsidR="001E025A" w:rsidRDefault="001E025A" w:rsidP="001E025A">
      <w:r>
        <w:separator/>
      </w:r>
    </w:p>
  </w:endnote>
  <w:endnote w:type="continuationSeparator" w:id="0">
    <w:p w14:paraId="0C570356" w14:textId="77777777" w:rsidR="001E025A" w:rsidRDefault="001E025A" w:rsidP="001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1CAC" w14:textId="77777777" w:rsidR="001E025A" w:rsidRDefault="001E025A" w:rsidP="001E025A">
      <w:r>
        <w:separator/>
      </w:r>
    </w:p>
  </w:footnote>
  <w:footnote w:type="continuationSeparator" w:id="0">
    <w:p w14:paraId="4AECA8CD" w14:textId="77777777" w:rsidR="001E025A" w:rsidRDefault="001E025A" w:rsidP="001E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90"/>
    <w:rsid w:val="00063724"/>
    <w:rsid w:val="00121372"/>
    <w:rsid w:val="001E025A"/>
    <w:rsid w:val="00253192"/>
    <w:rsid w:val="00295768"/>
    <w:rsid w:val="00384294"/>
    <w:rsid w:val="0050734E"/>
    <w:rsid w:val="005B0944"/>
    <w:rsid w:val="005B1310"/>
    <w:rsid w:val="00633F30"/>
    <w:rsid w:val="00695788"/>
    <w:rsid w:val="006B6600"/>
    <w:rsid w:val="00727831"/>
    <w:rsid w:val="00740690"/>
    <w:rsid w:val="00753459"/>
    <w:rsid w:val="0076077D"/>
    <w:rsid w:val="00911450"/>
    <w:rsid w:val="009435D7"/>
    <w:rsid w:val="009464ED"/>
    <w:rsid w:val="00A311D7"/>
    <w:rsid w:val="00B021EA"/>
    <w:rsid w:val="00D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35F26"/>
  <w15:docId w15:val="{F3257E58-5569-4DFE-9C5B-760C20CB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Jackson, Keisha G. (CDC/DDPHSIS/CGH/OD)</cp:lastModifiedBy>
  <cp:revision>5</cp:revision>
  <cp:lastPrinted>2016-02-03T20:08:00Z</cp:lastPrinted>
  <dcterms:created xsi:type="dcterms:W3CDTF">2016-04-01T17:27:00Z</dcterms:created>
  <dcterms:modified xsi:type="dcterms:W3CDTF">2022-12-31T02:45:00Z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2022-12-31T02:45:46Z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357ca64b-a298-48b2-8a00-e085341bd26b</vt:lpwstr>
  </property>
  <property fmtid="{D5CDD505-2E9C-101B-9397-08002B2CF9AE}" pid="8" name="MSIP_Label_7b94a7b8-f06c-4dfe-bdcc-9b548fd58c31_ContentBits">
    <vt:lpwstr>0</vt:lpwstr>
  </property>
</Properties>
</file>